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5" w:themeTint="99"/>
  <w:body>
    <w:p w14:paraId="04770EBA" w14:textId="77777777" w:rsidR="00930517" w:rsidRPr="00930517" w:rsidRDefault="00930517" w:rsidP="00930517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67CA0A7" w14:textId="77777777" w:rsidR="00930517" w:rsidRPr="00930517" w:rsidRDefault="00930517" w:rsidP="00930517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92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980"/>
        <w:gridCol w:w="1620"/>
        <w:gridCol w:w="3060"/>
      </w:tblGrid>
      <w:tr w:rsidR="00930517" w:rsidRPr="00930517" w14:paraId="2E2ED220" w14:textId="77777777" w:rsidTr="00963FAC">
        <w:trPr>
          <w:gridBefore w:val="1"/>
          <w:gridAfter w:val="1"/>
          <w:wBefore w:w="2592" w:type="dxa"/>
          <w:wAfter w:w="3060" w:type="dxa"/>
          <w:trHeight w:val="1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62C1184" w14:textId="46FBBB90" w:rsidR="00930517" w:rsidRPr="00930517" w:rsidRDefault="00930517" w:rsidP="0093051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val="en-US"/>
                <w14:ligatures w14:val="none"/>
              </w:rPr>
            </w:pPr>
            <w:r w:rsidRPr="00930517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val="en-US"/>
                <w14:ligatures w14:val="none"/>
              </w:rPr>
              <w:t>BILL NO.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A8CF8A" w14:textId="77777777" w:rsidR="00930517" w:rsidRPr="00930517" w:rsidRDefault="00930517" w:rsidP="00930517">
            <w:pPr>
              <w:suppressLineNumbers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val="en-US"/>
                <w14:ligatures w14:val="none"/>
              </w:rPr>
            </w:pPr>
          </w:p>
        </w:tc>
      </w:tr>
      <w:tr w:rsidR="00930517" w:rsidRPr="00930517" w14:paraId="0181391F" w14:textId="77777777" w:rsidTr="00A66B0C">
        <w:trPr>
          <w:trHeight w:val="950"/>
        </w:trPr>
        <w:tc>
          <w:tcPr>
            <w:tcW w:w="9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FEC2B" w14:textId="77777777" w:rsidR="00930517" w:rsidRPr="00930517" w:rsidRDefault="00930517" w:rsidP="00930517">
            <w:pPr>
              <w:suppressLineNumbers/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val="en-US"/>
                <w14:ligatures w14:val="none"/>
              </w:rPr>
            </w:pPr>
          </w:p>
          <w:p w14:paraId="1053FF99" w14:textId="77777777" w:rsidR="00930517" w:rsidRPr="00930517" w:rsidRDefault="00930517" w:rsidP="00930517">
            <w:pPr>
              <w:suppressLineNumbers/>
              <w:spacing w:after="0" w:line="240" w:lineRule="auto"/>
              <w:ind w:left="-288" w:right="-82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val="en-US"/>
                <w14:ligatures w14:val="none"/>
              </w:rPr>
            </w:pPr>
            <w:r w:rsidRPr="00930517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val="en-US"/>
                <w14:ligatures w14:val="none"/>
              </w:rPr>
              <w:t>Thirty-Fifth Legislature of the Virgin Islands</w:t>
            </w:r>
          </w:p>
        </w:tc>
      </w:tr>
    </w:tbl>
    <w:p w14:paraId="55791800" w14:textId="77777777" w:rsidR="00930517" w:rsidRDefault="00930517" w:rsidP="00930517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33545DF" w14:textId="77777777" w:rsidR="00A66B0C" w:rsidRDefault="00A66B0C" w:rsidP="00930517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4BFA76E" w14:textId="77777777" w:rsidR="00A66B0C" w:rsidRPr="00930517" w:rsidRDefault="00A66B0C" w:rsidP="00930517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Ind w:w="217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582"/>
      </w:tblGrid>
      <w:tr w:rsidR="00930517" w:rsidRPr="00930517" w14:paraId="45B695C1" w14:textId="77777777" w:rsidTr="00930517">
        <w:trPr>
          <w:trHeight w:val="116"/>
        </w:trPr>
        <w:tc>
          <w:tcPr>
            <w:tcW w:w="3582" w:type="dxa"/>
          </w:tcPr>
          <w:p w14:paraId="219AAB9E" w14:textId="77777777" w:rsidR="00930517" w:rsidRPr="00930517" w:rsidRDefault="00930517" w:rsidP="0093051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</w:tbl>
    <w:p w14:paraId="5EF81BD2" w14:textId="77777777" w:rsidR="00930517" w:rsidRDefault="00930517" w:rsidP="00930517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68BF362" w14:textId="77777777" w:rsidR="00A66B0C" w:rsidRDefault="00A66B0C" w:rsidP="00930517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14992C4" w14:textId="77777777" w:rsidR="00A66B0C" w:rsidRPr="00930517" w:rsidRDefault="00A66B0C" w:rsidP="00930517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33B7C51" w14:textId="485C134B" w:rsidR="00930517" w:rsidRPr="00047391" w:rsidRDefault="00930517" w:rsidP="00A66B0C">
      <w:pPr>
        <w:suppressLineNumbers/>
        <w:spacing w:after="0" w:line="240" w:lineRule="auto"/>
        <w:ind w:right="-6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516832912"/>
      <w:r w:rsidRPr="0004739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An </w:t>
      </w:r>
      <w:bookmarkEnd w:id="0"/>
      <w:r w:rsidRPr="0004739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Act </w:t>
      </w:r>
      <w:r w:rsidR="006447E1" w:rsidRPr="00656E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</w:t>
      </w:r>
      <w:r w:rsidR="001C2EF2" w:rsidRPr="00047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allow the operation of casinos on cruise ships while docked </w:t>
      </w:r>
      <w:r w:rsidR="006447E1" w:rsidRPr="00656E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St. </w:t>
      </w:r>
      <w:r w:rsidR="00260B2F" w:rsidRPr="00656E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Croix</w:t>
      </w:r>
      <w:r w:rsidR="003454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260B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0B2F" w:rsidRPr="00656E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Virgin</w:t>
      </w:r>
      <w:r w:rsidR="006447E1" w:rsidRPr="00656E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Islands</w:t>
      </w:r>
    </w:p>
    <w:p w14:paraId="4C1D2823" w14:textId="77777777" w:rsidR="00930517" w:rsidRDefault="00930517" w:rsidP="00A66B0C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0542AB3" w14:textId="77777777" w:rsidR="00A66B0C" w:rsidRDefault="00A66B0C" w:rsidP="00930517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8A7069" w14:textId="77777777" w:rsidR="00A66B0C" w:rsidRPr="00047391" w:rsidRDefault="00A66B0C" w:rsidP="00930517">
      <w:pPr>
        <w:suppressLineNumber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9468" w:type="dxa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930517" w:rsidRPr="00047391" w14:paraId="4277FDC8" w14:textId="77777777" w:rsidTr="00963FAC">
        <w:trPr>
          <w:trHeight w:val="1167"/>
        </w:trPr>
        <w:tc>
          <w:tcPr>
            <w:tcW w:w="26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99922C" w14:textId="77777777" w:rsidR="00930517" w:rsidRPr="00047391" w:rsidRDefault="00930517" w:rsidP="00930517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4739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PROPOSED BY:</w:t>
            </w:r>
          </w:p>
          <w:p w14:paraId="3F895217" w14:textId="77777777" w:rsidR="00930517" w:rsidRPr="00047391" w:rsidRDefault="00930517" w:rsidP="00930517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21F075D" w14:textId="77777777" w:rsidR="00930517" w:rsidRPr="00047391" w:rsidRDefault="00930517" w:rsidP="00930517">
            <w:pPr>
              <w:suppressLineNumbers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6A2771" w14:textId="52C6E03E" w:rsidR="00930517" w:rsidRPr="00047391" w:rsidRDefault="00930517" w:rsidP="00930517">
            <w:pPr>
              <w:suppressLineNumbers/>
              <w:spacing w:after="0" w:line="360" w:lineRule="auto"/>
              <w:jc w:val="both"/>
              <w:rPr>
                <w:rFonts w:ascii="Helvetica" w:eastAsia="Times New Roman" w:hAnsi="Helvetica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47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Senator Novelle E. Francis, Jr.</w:t>
            </w:r>
            <w:r w:rsidR="00A66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047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by Request of the Governor</w:t>
            </w:r>
          </w:p>
        </w:tc>
      </w:tr>
    </w:tbl>
    <w:p w14:paraId="00CB14F0" w14:textId="1152DECE" w:rsidR="00905344" w:rsidRPr="00047391" w:rsidRDefault="00260B2F" w:rsidP="00A66B0C">
      <w:pPr>
        <w:spacing w:after="0" w:line="480" w:lineRule="auto"/>
        <w:ind w:firstLine="567"/>
        <w:jc w:val="both"/>
        <w:rPr>
          <w:rFonts w:ascii="Times New Roman" w:eastAsia="Aptos" w:hAnsi="Times New Roman" w:cs="Times New Roman"/>
          <w:bCs/>
          <w:sz w:val="24"/>
          <w:szCs w:val="24"/>
          <w:lang w:val="en-US"/>
        </w:rPr>
      </w:pPr>
      <w:proofErr w:type="gramStart"/>
      <w:r w:rsidRPr="00047391">
        <w:rPr>
          <w:rFonts w:ascii="Times New Roman" w:eastAsia="Aptos" w:hAnsi="Times New Roman" w:cs="Times New Roman"/>
          <w:b/>
          <w:sz w:val="24"/>
          <w:szCs w:val="24"/>
          <w:lang w:val="en-US"/>
        </w:rPr>
        <w:t>WHEREAS</w:t>
      </w:r>
      <w:r>
        <w:rPr>
          <w:rFonts w:ascii="Times New Roman" w:eastAsia="Aptos" w:hAnsi="Times New Roman" w:cs="Times New Roman"/>
          <w:b/>
          <w:sz w:val="24"/>
          <w:szCs w:val="24"/>
          <w:lang w:val="en-US"/>
        </w:rPr>
        <w:t>,</w:t>
      </w:r>
      <w:proofErr w:type="gramEnd"/>
      <w:r>
        <w:rPr>
          <w:rFonts w:ascii="Times New Roman" w:eastAsia="Aptos" w:hAnsi="Times New Roman" w:cs="Times New Roman"/>
          <w:b/>
          <w:sz w:val="24"/>
          <w:szCs w:val="24"/>
          <w:lang w:val="en-US"/>
        </w:rPr>
        <w:t xml:space="preserve"> </w:t>
      </w:r>
      <w:r w:rsidR="00905344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the operation of casinos in </w:t>
      </w:r>
      <w:r w:rsidR="00210978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St. </w:t>
      </w:r>
      <w:r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Croix </w:t>
      </w:r>
      <w:r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>was</w:t>
      </w:r>
      <w:r w:rsidR="00905344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legalized by the passage of the Virgin Islands Casino and Resort Control Act of 1995; and</w:t>
      </w:r>
    </w:p>
    <w:p w14:paraId="09EEED78" w14:textId="14A8508E" w:rsidR="00905344" w:rsidRPr="00047391" w:rsidRDefault="00905344" w:rsidP="00A66B0C">
      <w:pPr>
        <w:spacing w:after="0" w:line="480" w:lineRule="auto"/>
        <w:ind w:firstLine="567"/>
        <w:jc w:val="both"/>
        <w:rPr>
          <w:rFonts w:ascii="Times New Roman" w:eastAsia="Aptos" w:hAnsi="Times New Roman" w:cs="Times New Roman"/>
          <w:bCs/>
          <w:sz w:val="24"/>
          <w:szCs w:val="24"/>
          <w:lang w:val="en-US"/>
        </w:rPr>
      </w:pPr>
      <w:r w:rsidRPr="00047391">
        <w:rPr>
          <w:rFonts w:ascii="Times New Roman" w:eastAsia="Aptos" w:hAnsi="Times New Roman" w:cs="Times New Roman"/>
          <w:b/>
          <w:sz w:val="24"/>
          <w:szCs w:val="24"/>
          <w:lang w:val="en-US"/>
        </w:rPr>
        <w:t>WHEREAS</w:t>
      </w:r>
      <w:r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, the Virgin Islands Casino Control Commission (VICCC) has general </w:t>
      </w:r>
      <w:r w:rsidR="00260B2F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>responsibility</w:t>
      </w:r>
      <w:r w:rsidR="00260B2F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</w:t>
      </w:r>
      <w:r w:rsidR="00260B2F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>to</w:t>
      </w:r>
      <w:r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hear and </w:t>
      </w:r>
      <w:r w:rsidR="00210978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promptly </w:t>
      </w:r>
      <w:r w:rsidR="00260B2F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>decide on</w:t>
      </w:r>
      <w:r w:rsidR="00210978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</w:t>
      </w:r>
      <w:r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all license, registration, certificate, and permit applications, </w:t>
      </w:r>
      <w:r w:rsidR="0034541B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and </w:t>
      </w:r>
      <w:r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>matters affecting the granting, suspension, revocation, or renewal thereof; and</w:t>
      </w:r>
    </w:p>
    <w:p w14:paraId="2E18C380" w14:textId="16A2679A" w:rsidR="00905344" w:rsidRPr="00047391" w:rsidRDefault="00905344" w:rsidP="00A66B0C">
      <w:pPr>
        <w:spacing w:after="0" w:line="480" w:lineRule="auto"/>
        <w:ind w:firstLine="567"/>
        <w:jc w:val="both"/>
        <w:rPr>
          <w:rFonts w:ascii="Times New Roman" w:eastAsia="Aptos" w:hAnsi="Times New Roman" w:cs="Times New Roman"/>
          <w:bCs/>
          <w:sz w:val="24"/>
          <w:szCs w:val="24"/>
          <w:lang w:val="en-US"/>
        </w:rPr>
      </w:pPr>
      <w:r w:rsidRPr="00047391">
        <w:rPr>
          <w:rFonts w:ascii="Times New Roman" w:eastAsia="Aptos" w:hAnsi="Times New Roman" w:cs="Times New Roman"/>
          <w:b/>
          <w:sz w:val="24"/>
          <w:szCs w:val="24"/>
          <w:lang w:val="en-US"/>
        </w:rPr>
        <w:t>WHEREAS</w:t>
      </w:r>
      <w:r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, pursuant to Act No. 6287, cruise </w:t>
      </w:r>
      <w:r w:rsidR="00260B2F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>ships docked</w:t>
      </w:r>
      <w:r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at the piers in St. Thomas and St. John may operate their onboard casinos for use by their passengers only; and</w:t>
      </w:r>
    </w:p>
    <w:p w14:paraId="26F3C790" w14:textId="4A3E86DD" w:rsidR="00EE2284" w:rsidRPr="00A66B0C" w:rsidRDefault="00260B2F" w:rsidP="00A66B0C">
      <w:pPr>
        <w:spacing w:after="0" w:line="480" w:lineRule="auto"/>
        <w:ind w:firstLine="567"/>
        <w:jc w:val="both"/>
        <w:rPr>
          <w:rFonts w:ascii="Times New Roman" w:eastAsia="Aptos" w:hAnsi="Times New Roman" w:cs="Times New Roman"/>
          <w:bCs/>
          <w:sz w:val="24"/>
          <w:szCs w:val="24"/>
          <w:lang w:val="en-US"/>
        </w:rPr>
      </w:pPr>
      <w:r w:rsidRPr="00047391">
        <w:rPr>
          <w:rFonts w:ascii="Times New Roman" w:eastAsia="Aptos" w:hAnsi="Times New Roman" w:cs="Times New Roman"/>
          <w:b/>
          <w:sz w:val="24"/>
          <w:szCs w:val="24"/>
          <w:lang w:val="en-US"/>
        </w:rPr>
        <w:t xml:space="preserve">WHEREAS, </w:t>
      </w:r>
      <w:r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>by</w:t>
      </w:r>
      <w:r w:rsidR="00905344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allowing cruise ships </w:t>
      </w:r>
      <w:r w:rsidR="00210978">
        <w:rPr>
          <w:rFonts w:ascii="Times New Roman" w:eastAsia="Aptos" w:hAnsi="Times New Roman" w:cs="Times New Roman"/>
          <w:bCs/>
          <w:sz w:val="24"/>
          <w:szCs w:val="24"/>
          <w:lang w:val="en-US"/>
        </w:rPr>
        <w:t>to operate their onboard casinos for their passengers only</w:t>
      </w:r>
      <w:r w:rsidR="0034541B">
        <w:rPr>
          <w:rFonts w:ascii="Times New Roman" w:eastAsia="Aptos" w:hAnsi="Times New Roman" w:cs="Times New Roman"/>
          <w:bCs/>
          <w:sz w:val="24"/>
          <w:szCs w:val="24"/>
          <w:lang w:val="en-US"/>
        </w:rPr>
        <w:t>,</w:t>
      </w:r>
      <w:r w:rsidR="00210978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while docked in St. Croix</w:t>
      </w:r>
      <w:r w:rsidR="0034541B">
        <w:rPr>
          <w:rFonts w:ascii="Times New Roman" w:eastAsia="Aptos" w:hAnsi="Times New Roman" w:cs="Times New Roman"/>
          <w:bCs/>
          <w:sz w:val="24"/>
          <w:szCs w:val="24"/>
          <w:lang w:val="en-US"/>
        </w:rPr>
        <w:t>,</w:t>
      </w:r>
      <w:r w:rsidR="00210978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will </w:t>
      </w:r>
      <w:r w:rsidR="00210978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incentivize more cruise ship calls to St. Croix </w:t>
      </w:r>
      <w:r w:rsidR="00210978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and encourage the cruise </w:t>
      </w:r>
      <w:r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ships </w:t>
      </w:r>
      <w:r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>to remain</w:t>
      </w:r>
      <w:r w:rsidR="00210978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</w:t>
      </w:r>
      <w:r w:rsidR="00905344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in port for longer periods </w:t>
      </w:r>
      <w:r w:rsidR="00210978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of time while </w:t>
      </w:r>
      <w:r w:rsidR="004579EA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also </w:t>
      </w:r>
      <w:r w:rsidR="004579EA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>providing</w:t>
      </w:r>
      <w:r w:rsidR="00210978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</w:t>
      </w:r>
      <w:r w:rsidR="00905344" w:rsidRPr="00047391">
        <w:rPr>
          <w:rFonts w:ascii="Times New Roman" w:eastAsia="Aptos" w:hAnsi="Times New Roman" w:cs="Times New Roman"/>
          <w:bCs/>
          <w:sz w:val="24"/>
          <w:szCs w:val="24"/>
          <w:lang w:val="en-US"/>
        </w:rPr>
        <w:t>guests and crew with an opportunity to engage more deeply with the unique culture of St. Croix;</w:t>
      </w:r>
      <w:r w:rsidR="00A66B0C">
        <w:rPr>
          <w:rFonts w:ascii="Times New Roman" w:eastAsia="Aptos" w:hAnsi="Times New Roman" w:cs="Times New Roman"/>
          <w:bCs/>
          <w:sz w:val="24"/>
          <w:szCs w:val="24"/>
          <w:lang w:val="en-US"/>
        </w:rPr>
        <w:t xml:space="preserve"> </w:t>
      </w:r>
      <w:r w:rsidR="00EE2284" w:rsidRPr="00EE228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Now, Therefore,</w:t>
      </w:r>
    </w:p>
    <w:p w14:paraId="754949A9" w14:textId="5E4547E6" w:rsidR="00930517" w:rsidRPr="00047391" w:rsidRDefault="00930517" w:rsidP="00905344">
      <w:pPr>
        <w:spacing w:after="0" w:line="48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en-US"/>
        </w:rPr>
      </w:pPr>
      <w:r w:rsidRPr="00047391">
        <w:rPr>
          <w:rFonts w:ascii="Times New Roman" w:eastAsia="Aptos" w:hAnsi="Times New Roman" w:cs="Times New Roman"/>
          <w:b/>
          <w:i/>
          <w:sz w:val="24"/>
          <w:szCs w:val="24"/>
          <w:lang w:val="en-US"/>
        </w:rPr>
        <w:lastRenderedPageBreak/>
        <w:t>Be</w:t>
      </w:r>
      <w:r w:rsidRPr="00047391">
        <w:rPr>
          <w:rFonts w:ascii="Times New Roman" w:eastAsia="Aptos" w:hAnsi="Times New Roman" w:cs="Times New Roman"/>
          <w:b/>
          <w:bCs/>
          <w:i/>
          <w:iCs/>
          <w:sz w:val="24"/>
          <w:szCs w:val="24"/>
          <w:lang w:val="en-US"/>
        </w:rPr>
        <w:t xml:space="preserve"> it enacted by the Legislature of the Virgin Islands:</w:t>
      </w:r>
    </w:p>
    <w:p w14:paraId="7C6FE915" w14:textId="4659A084" w:rsidR="00DF2FF5" w:rsidRPr="00656EAE" w:rsidRDefault="00930517" w:rsidP="00DA45D8">
      <w:pPr>
        <w:tabs>
          <w:tab w:val="left" w:pos="1134"/>
        </w:tabs>
        <w:spacing w:after="0" w:line="480" w:lineRule="auto"/>
        <w:ind w:firstLine="567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047391">
        <w:rPr>
          <w:rFonts w:ascii="Times New Roman" w:eastAsia="Aptos" w:hAnsi="Times New Roman" w:cs="Times New Roman"/>
          <w:b/>
          <w:bCs/>
          <w:sz w:val="24"/>
          <w:szCs w:val="24"/>
          <w:lang w:val="en-US"/>
        </w:rPr>
        <w:t>SECTION 1.</w:t>
      </w:r>
      <w:r w:rsidRPr="00047391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r w:rsidR="00DA45D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(a)  </w:t>
      </w:r>
      <w:r w:rsidR="00DA45D8">
        <w:rPr>
          <w:rFonts w:ascii="Times New Roman" w:eastAsia="Aptos" w:hAnsi="Times New Roman" w:cs="Times New Roman"/>
          <w:sz w:val="24"/>
          <w:szCs w:val="24"/>
        </w:rPr>
        <w:t>Title 25 Virgin Islands Code, chapter 17, section 501 is amended by</w:t>
      </w:r>
      <w:r w:rsidR="00BC3967">
        <w:rPr>
          <w:rFonts w:ascii="Times New Roman" w:eastAsia="Aptos" w:hAnsi="Times New Roman" w:cs="Times New Roman"/>
          <w:sz w:val="24"/>
          <w:szCs w:val="24"/>
        </w:rPr>
        <w:t xml:space="preserve"> striking the language after “St. Thomas” and inserting “, St. John, or St. Croix may operate their onboard casinos after 5:00 p.m. </w:t>
      </w:r>
      <w:r w:rsidR="00C1278D">
        <w:rPr>
          <w:rFonts w:ascii="Times New Roman" w:eastAsia="Aptos" w:hAnsi="Times New Roman" w:cs="Times New Roman"/>
          <w:sz w:val="24"/>
          <w:szCs w:val="24"/>
        </w:rPr>
        <w:t xml:space="preserve">for their passengers only </w:t>
      </w:r>
      <w:r w:rsidR="00BC3967">
        <w:rPr>
          <w:rFonts w:ascii="Times New Roman" w:eastAsia="Aptos" w:hAnsi="Times New Roman" w:cs="Times New Roman"/>
          <w:sz w:val="24"/>
          <w:szCs w:val="24"/>
        </w:rPr>
        <w:t xml:space="preserve">while </w:t>
      </w:r>
      <w:r w:rsidR="00C1278D">
        <w:rPr>
          <w:rFonts w:ascii="Times New Roman" w:eastAsia="Aptos" w:hAnsi="Times New Roman" w:cs="Times New Roman"/>
          <w:sz w:val="24"/>
          <w:szCs w:val="24"/>
        </w:rPr>
        <w:t xml:space="preserve">anchored or docked </w:t>
      </w:r>
      <w:r w:rsidR="00BC3967">
        <w:rPr>
          <w:rFonts w:ascii="Times New Roman" w:eastAsia="Aptos" w:hAnsi="Times New Roman" w:cs="Times New Roman"/>
          <w:sz w:val="24"/>
          <w:szCs w:val="24"/>
        </w:rPr>
        <w:t>in port</w:t>
      </w:r>
      <w:r w:rsidR="00C1278D">
        <w:rPr>
          <w:rFonts w:ascii="Times New Roman" w:eastAsia="Aptos" w:hAnsi="Times New Roman" w:cs="Times New Roman"/>
          <w:sz w:val="24"/>
          <w:szCs w:val="24"/>
        </w:rPr>
        <w:t>,</w:t>
      </w:r>
      <w:r w:rsidR="00BC3967">
        <w:rPr>
          <w:rFonts w:ascii="Times New Roman" w:eastAsia="Aptos" w:hAnsi="Times New Roman" w:cs="Times New Roman"/>
          <w:sz w:val="24"/>
          <w:szCs w:val="24"/>
        </w:rPr>
        <w:t xml:space="preserve"> or</w:t>
      </w:r>
      <w:r w:rsidR="00C1278D">
        <w:rPr>
          <w:rFonts w:ascii="Times New Roman" w:eastAsia="Aptos" w:hAnsi="Times New Roman" w:cs="Times New Roman"/>
          <w:sz w:val="24"/>
          <w:szCs w:val="24"/>
        </w:rPr>
        <w:t xml:space="preserve"> at any time of day while</w:t>
      </w:r>
      <w:r w:rsidR="00BC3967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C1278D">
        <w:rPr>
          <w:rFonts w:ascii="Times New Roman" w:eastAsia="Aptos" w:hAnsi="Times New Roman" w:cs="Times New Roman"/>
          <w:sz w:val="24"/>
          <w:szCs w:val="24"/>
        </w:rPr>
        <w:t xml:space="preserve">otherwise </w:t>
      </w:r>
      <w:r w:rsidR="00BC3967">
        <w:rPr>
          <w:rFonts w:ascii="Times New Roman" w:eastAsia="Aptos" w:hAnsi="Times New Roman" w:cs="Times New Roman"/>
          <w:sz w:val="24"/>
          <w:szCs w:val="24"/>
        </w:rPr>
        <w:t>within the territorial waters of the Virgin Islands</w:t>
      </w:r>
      <w:r w:rsidR="00DA45D8">
        <w:rPr>
          <w:rFonts w:ascii="Times New Roman" w:eastAsia="Aptos" w:hAnsi="Times New Roman" w:cs="Times New Roman"/>
          <w:sz w:val="24"/>
          <w:szCs w:val="24"/>
        </w:rPr>
        <w:t>.</w:t>
      </w:r>
      <w:r w:rsidR="00BC3967">
        <w:rPr>
          <w:rFonts w:ascii="Times New Roman" w:eastAsia="Aptos" w:hAnsi="Times New Roman" w:cs="Times New Roman"/>
          <w:sz w:val="24"/>
          <w:szCs w:val="24"/>
        </w:rPr>
        <w:t>”</w:t>
      </w:r>
    </w:p>
    <w:p w14:paraId="6C4DD099" w14:textId="244D690E" w:rsidR="00DF2FF5" w:rsidRDefault="00DF2FF5" w:rsidP="00A66B0C">
      <w:pPr>
        <w:tabs>
          <w:tab w:val="left" w:pos="1134"/>
        </w:tabs>
        <w:spacing w:after="0" w:line="480" w:lineRule="auto"/>
        <w:ind w:firstLine="567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F2FF5">
        <w:rPr>
          <w:rFonts w:ascii="Times New Roman" w:eastAsia="Aptos" w:hAnsi="Times New Roman" w:cs="Times New Roman"/>
          <w:sz w:val="24"/>
          <w:szCs w:val="24"/>
        </w:rPr>
        <w:t>(b)</w:t>
      </w:r>
      <w:r w:rsidR="00A66B0C">
        <w:rPr>
          <w:rFonts w:ascii="Times New Roman" w:eastAsia="Aptos" w:hAnsi="Times New Roman" w:cs="Times New Roman"/>
          <w:sz w:val="24"/>
          <w:szCs w:val="24"/>
        </w:rPr>
        <w:tab/>
      </w:r>
      <w:r w:rsidRPr="00DF2FF5">
        <w:rPr>
          <w:rFonts w:ascii="Times New Roman" w:eastAsia="Aptos" w:hAnsi="Times New Roman" w:cs="Times New Roman"/>
          <w:sz w:val="24"/>
          <w:szCs w:val="24"/>
        </w:rPr>
        <w:t>For purposes of this</w:t>
      </w:r>
      <w:r w:rsidR="00DA45D8">
        <w:rPr>
          <w:rFonts w:ascii="Times New Roman" w:eastAsia="Aptos" w:hAnsi="Times New Roman" w:cs="Times New Roman"/>
          <w:sz w:val="24"/>
          <w:szCs w:val="24"/>
        </w:rPr>
        <w:t xml:space="preserve"> section</w:t>
      </w:r>
      <w:r w:rsidRPr="00DF2FF5">
        <w:rPr>
          <w:rFonts w:ascii="Times New Roman" w:eastAsia="Aptos" w:hAnsi="Times New Roman" w:cs="Times New Roman"/>
          <w:sz w:val="24"/>
          <w:szCs w:val="24"/>
        </w:rPr>
        <w:t>, "casino</w:t>
      </w:r>
      <w:r w:rsidR="00DA45D8">
        <w:rPr>
          <w:rFonts w:ascii="Times New Roman" w:eastAsia="Aptos" w:hAnsi="Times New Roman" w:cs="Times New Roman"/>
          <w:sz w:val="24"/>
          <w:szCs w:val="24"/>
        </w:rPr>
        <w:t>s</w:t>
      </w:r>
      <w:r w:rsidRPr="00DF2FF5">
        <w:rPr>
          <w:rFonts w:ascii="Times New Roman" w:eastAsia="Aptos" w:hAnsi="Times New Roman" w:cs="Times New Roman"/>
          <w:sz w:val="24"/>
          <w:szCs w:val="24"/>
        </w:rPr>
        <w:t>" include</w:t>
      </w:r>
      <w:r w:rsidR="00DA45D8">
        <w:rPr>
          <w:rFonts w:ascii="Times New Roman" w:eastAsia="Aptos" w:hAnsi="Times New Roman" w:cs="Times New Roman"/>
          <w:sz w:val="24"/>
          <w:szCs w:val="24"/>
        </w:rPr>
        <w:t>s</w:t>
      </w:r>
      <w:r w:rsidRPr="00DF2FF5">
        <w:rPr>
          <w:rFonts w:ascii="Times New Roman" w:eastAsia="Aptos" w:hAnsi="Times New Roman" w:cs="Times New Roman"/>
          <w:sz w:val="24"/>
          <w:szCs w:val="24"/>
        </w:rPr>
        <w:t xml:space="preserve"> table games, slot machines, and any other gambling activity typically offered by casinos aboard cruise ships.</w:t>
      </w:r>
    </w:p>
    <w:p w14:paraId="6A2BD8B6" w14:textId="30F72692" w:rsidR="00BC06C6" w:rsidRPr="00A66B0C" w:rsidRDefault="00930517" w:rsidP="00A66B0C">
      <w:pPr>
        <w:spacing w:after="0" w:line="480" w:lineRule="auto"/>
        <w:contextualSpacing/>
        <w:jc w:val="center"/>
        <w:rPr>
          <w:rFonts w:ascii="Times New Roman" w:eastAsia="Aptos" w:hAnsi="Times New Roman" w:cs="Times New Roman"/>
          <w:b/>
          <w:bCs/>
          <w:sz w:val="24"/>
          <w:szCs w:val="24"/>
          <w:highlight w:val="yellow"/>
          <w:u w:val="single"/>
          <w:lang w:val="en-US"/>
        </w:rPr>
      </w:pPr>
      <w:r w:rsidRPr="00A66B0C">
        <w:rPr>
          <w:rFonts w:ascii="Times New Roman" w:eastAsia="Aptos" w:hAnsi="Times New Roman" w:cs="Times New Roman"/>
          <w:b/>
          <w:bCs/>
          <w:sz w:val="24"/>
          <w:szCs w:val="24"/>
          <w:u w:val="single"/>
          <w:lang w:val="en-US"/>
        </w:rPr>
        <w:t>BILL SUMMARY</w:t>
      </w:r>
    </w:p>
    <w:p w14:paraId="588A980A" w14:textId="60A89795" w:rsidR="00BC06C6" w:rsidRDefault="00BC06C6" w:rsidP="00A66B0C">
      <w:pPr>
        <w:spacing w:line="480" w:lineRule="auto"/>
        <w:ind w:firstLine="567"/>
        <w:contextualSpacing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  <w:r w:rsidRPr="00BC06C6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This bill allows cruise ships docked </w:t>
      </w:r>
      <w:r w:rsidR="00DA45D8">
        <w:rPr>
          <w:rFonts w:ascii="Times New Roman" w:eastAsia="Aptos" w:hAnsi="Times New Roman" w:cs="Times New Roman"/>
          <w:sz w:val="24"/>
          <w:szCs w:val="24"/>
          <w:lang w:val="en-US"/>
        </w:rPr>
        <w:t>St. Croix</w:t>
      </w:r>
      <w:r w:rsidRPr="00BC06C6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to operate onboard casinos for </w:t>
      </w:r>
      <w:r w:rsidR="00DA45D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their </w:t>
      </w:r>
      <w:r w:rsidRPr="00BC06C6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passengers </w:t>
      </w:r>
      <w:r w:rsidR="00260B2F" w:rsidRPr="00BC06C6">
        <w:rPr>
          <w:rFonts w:ascii="Times New Roman" w:eastAsia="Aptos" w:hAnsi="Times New Roman" w:cs="Times New Roman"/>
          <w:sz w:val="24"/>
          <w:szCs w:val="24"/>
          <w:lang w:val="en-US"/>
        </w:rPr>
        <w:t>within Virgin</w:t>
      </w:r>
      <w:r w:rsidRPr="00BC06C6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Islands waters</w:t>
      </w:r>
      <w:r w:rsidR="00DA45D8">
        <w:rPr>
          <w:rFonts w:ascii="Times New Roman" w:eastAsia="Aptos" w:hAnsi="Times New Roman" w:cs="Times New Roman"/>
          <w:sz w:val="24"/>
          <w:szCs w:val="24"/>
          <w:lang w:val="en-US"/>
        </w:rPr>
        <w:t>.</w:t>
      </w:r>
    </w:p>
    <w:p w14:paraId="147D4081" w14:textId="03572445" w:rsidR="00047391" w:rsidRPr="00047391" w:rsidRDefault="00047391" w:rsidP="00AA3B9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391">
        <w:rPr>
          <w:rFonts w:ascii="Times New Roman" w:hAnsi="Times New Roman" w:cs="Times New Roman"/>
          <w:b/>
          <w:bCs/>
          <w:sz w:val="24"/>
          <w:szCs w:val="24"/>
          <w:lang w:val="en-US"/>
        </w:rPr>
        <w:t>BR24-1</w:t>
      </w:r>
      <w:r w:rsidR="008A5D3D">
        <w:rPr>
          <w:rFonts w:ascii="Times New Roman" w:hAnsi="Times New Roman" w:cs="Times New Roman"/>
          <w:b/>
          <w:bCs/>
          <w:sz w:val="24"/>
          <w:szCs w:val="24"/>
          <w:lang w:val="en-US"/>
        </w:rPr>
        <w:t>293</w:t>
      </w:r>
      <w:r w:rsidRPr="00047391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434C08" w:rsidRPr="00434C08">
        <w:rPr>
          <w:rFonts w:ascii="Times New Roman" w:hAnsi="Times New Roman" w:cs="Times New Roman"/>
          <w:b/>
          <w:bCs/>
          <w:sz w:val="24"/>
          <w:szCs w:val="24"/>
          <w:lang w:val="en-US"/>
        </w:rPr>
        <w:t>October 1</w:t>
      </w:r>
      <w:r w:rsidR="00A66B0C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047391">
        <w:rPr>
          <w:rFonts w:ascii="Times New Roman" w:hAnsi="Times New Roman" w:cs="Times New Roman"/>
          <w:b/>
          <w:bCs/>
          <w:sz w:val="24"/>
          <w:szCs w:val="24"/>
          <w:lang w:val="en-US"/>
        </w:rPr>
        <w:t>, 2024/KEH</w:t>
      </w:r>
    </w:p>
    <w:p w14:paraId="07FE9B2A" w14:textId="57AC48F6" w:rsidR="00DB23D7" w:rsidRPr="00A66B0C" w:rsidRDefault="00047391" w:rsidP="00A66B0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391">
        <w:rPr>
          <w:rFonts w:ascii="Times New Roman" w:hAnsi="Times New Roman" w:cs="Times New Roman"/>
          <w:b/>
          <w:bCs/>
          <w:sz w:val="24"/>
          <w:szCs w:val="24"/>
          <w:lang w:val="en-US"/>
        </w:rPr>
        <w:t>G35-0</w:t>
      </w:r>
      <w:r w:rsidR="008A5D3D">
        <w:rPr>
          <w:rFonts w:ascii="Times New Roman" w:hAnsi="Times New Roman" w:cs="Times New Roman"/>
          <w:b/>
          <w:bCs/>
          <w:sz w:val="24"/>
          <w:szCs w:val="24"/>
          <w:lang w:val="en-US"/>
        </w:rPr>
        <w:t>86</w:t>
      </w:r>
    </w:p>
    <w:sectPr w:rsidR="00DB23D7" w:rsidRPr="00A66B0C" w:rsidSect="005C0711">
      <w:headerReference w:type="default" r:id="rId9"/>
      <w:pgSz w:w="12240" w:h="15840"/>
      <w:pgMar w:top="709" w:right="1750" w:bottom="1985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C33C" w14:textId="77777777" w:rsidR="00930517" w:rsidRDefault="00930517" w:rsidP="00930517">
      <w:pPr>
        <w:spacing w:after="0" w:line="240" w:lineRule="auto"/>
      </w:pPr>
      <w:r>
        <w:separator/>
      </w:r>
    </w:p>
  </w:endnote>
  <w:endnote w:type="continuationSeparator" w:id="0">
    <w:p w14:paraId="047EE140" w14:textId="77777777" w:rsidR="00930517" w:rsidRDefault="00930517" w:rsidP="0093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55A4" w14:textId="77777777" w:rsidR="00930517" w:rsidRDefault="00930517" w:rsidP="00930517">
      <w:pPr>
        <w:spacing w:after="0" w:line="240" w:lineRule="auto"/>
      </w:pPr>
      <w:r>
        <w:separator/>
      </w:r>
    </w:p>
  </w:footnote>
  <w:footnote w:type="continuationSeparator" w:id="0">
    <w:p w14:paraId="68367E8C" w14:textId="77777777" w:rsidR="00930517" w:rsidRDefault="00930517" w:rsidP="0093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087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779817" w14:textId="2704314A" w:rsidR="00A66B0C" w:rsidRDefault="00A66B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A49372" w14:textId="77777777" w:rsidR="00A66B0C" w:rsidRDefault="00A66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17"/>
    <w:rsid w:val="00043F8D"/>
    <w:rsid w:val="00047391"/>
    <w:rsid w:val="00080685"/>
    <w:rsid w:val="000F1CD8"/>
    <w:rsid w:val="001672FB"/>
    <w:rsid w:val="001C2EF2"/>
    <w:rsid w:val="001C6E81"/>
    <w:rsid w:val="00210978"/>
    <w:rsid w:val="00260B2F"/>
    <w:rsid w:val="0030229B"/>
    <w:rsid w:val="00314FC3"/>
    <w:rsid w:val="00341F31"/>
    <w:rsid w:val="0034541B"/>
    <w:rsid w:val="00387F06"/>
    <w:rsid w:val="003C1801"/>
    <w:rsid w:val="00434C08"/>
    <w:rsid w:val="004579EA"/>
    <w:rsid w:val="004743C3"/>
    <w:rsid w:val="00495E1E"/>
    <w:rsid w:val="004A0E97"/>
    <w:rsid w:val="004A1FCC"/>
    <w:rsid w:val="00546833"/>
    <w:rsid w:val="005C0711"/>
    <w:rsid w:val="006447E1"/>
    <w:rsid w:val="006A7EDB"/>
    <w:rsid w:val="0070308D"/>
    <w:rsid w:val="007A7196"/>
    <w:rsid w:val="007B7036"/>
    <w:rsid w:val="008139D8"/>
    <w:rsid w:val="00865D49"/>
    <w:rsid w:val="008A5D3D"/>
    <w:rsid w:val="008B4148"/>
    <w:rsid w:val="00905344"/>
    <w:rsid w:val="00930517"/>
    <w:rsid w:val="00963FAC"/>
    <w:rsid w:val="00980218"/>
    <w:rsid w:val="009D4239"/>
    <w:rsid w:val="00A02139"/>
    <w:rsid w:val="00A117D3"/>
    <w:rsid w:val="00A66B0C"/>
    <w:rsid w:val="00AA3B90"/>
    <w:rsid w:val="00AA59E4"/>
    <w:rsid w:val="00AC301A"/>
    <w:rsid w:val="00AE4A94"/>
    <w:rsid w:val="00B065B6"/>
    <w:rsid w:val="00B16E17"/>
    <w:rsid w:val="00BC06C6"/>
    <w:rsid w:val="00BC3967"/>
    <w:rsid w:val="00C1278D"/>
    <w:rsid w:val="00C50C8D"/>
    <w:rsid w:val="00C82DF3"/>
    <w:rsid w:val="00CF0E17"/>
    <w:rsid w:val="00DA45D8"/>
    <w:rsid w:val="00DB23D7"/>
    <w:rsid w:val="00DF2FF5"/>
    <w:rsid w:val="00E0705E"/>
    <w:rsid w:val="00E24A03"/>
    <w:rsid w:val="00E64B1F"/>
    <w:rsid w:val="00ED1420"/>
    <w:rsid w:val="00EE2284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."/>
  <w:listSeparator w:val=","/>
  <w14:docId w14:val="269B7CA9"/>
  <w15:docId w15:val="{53762A05-3301-4EEB-80B7-6A84134E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517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30517"/>
    <w:rPr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930517"/>
  </w:style>
  <w:style w:type="paragraph" w:styleId="Footer">
    <w:name w:val="footer"/>
    <w:basedOn w:val="Normal"/>
    <w:link w:val="FooterChar"/>
    <w:uiPriority w:val="99"/>
    <w:unhideWhenUsed/>
    <w:rsid w:val="0093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17"/>
  </w:style>
  <w:style w:type="paragraph" w:styleId="Revision">
    <w:name w:val="Revision"/>
    <w:hidden/>
    <w:uiPriority w:val="99"/>
    <w:semiHidden/>
    <w:rsid w:val="00210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15d8bf-9311-42d7-a84b-35593b153e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B44CB1F7BB343BE9501C2EADE3E40" ma:contentTypeVersion="10" ma:contentTypeDescription="Create a new document." ma:contentTypeScope="" ma:versionID="4cdf4bc16ac8e45cd4ffbe56d9810171">
  <xsd:schema xmlns:xsd="http://www.w3.org/2001/XMLSchema" xmlns:xs="http://www.w3.org/2001/XMLSchema" xmlns:p="http://schemas.microsoft.com/office/2006/metadata/properties" xmlns:ns3="2215d8bf-9311-42d7-a84b-35593b153e57" targetNamespace="http://schemas.microsoft.com/office/2006/metadata/properties" ma:root="true" ma:fieldsID="c28d66bad4060d9ff844b1b1ce1146a0" ns3:_="">
    <xsd:import namespace="2215d8bf-9311-42d7-a84b-35593b153e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d8bf-9311-42d7-a84b-35593b153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CCAE3-18B4-4483-8352-EA6054AC571E}">
  <ds:schemaRefs>
    <ds:schemaRef ds:uri="http://schemas.microsoft.com/office/2006/documentManagement/types"/>
    <ds:schemaRef ds:uri="http://schemas.microsoft.com/office/2006/metadata/properties"/>
    <ds:schemaRef ds:uri="2215d8bf-9311-42d7-a84b-35593b153e57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2D55CD-A25A-4921-84A7-768B52F9D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5d8bf-9311-42d7-a84b-35593b153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26D9-598F-42D0-921E-3CCDE165AD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E. Hill</dc:creator>
  <cp:keywords/>
  <dc:description/>
  <cp:lastModifiedBy>Sharline Rogers</cp:lastModifiedBy>
  <cp:revision>5</cp:revision>
  <dcterms:created xsi:type="dcterms:W3CDTF">2024-10-16T13:19:00Z</dcterms:created>
  <dcterms:modified xsi:type="dcterms:W3CDTF">2024-10-16T14:32:00Z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0x0101009F3B44CB1F7BB343BE9501C2EADE3E40</vt:lpwstr>
  </property>
</Properties>
</file>